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7392" w:right="0" w:firstLine="0"/>
        <w:jc w:val="left"/>
        <w:rPr>
          <w:sz w:val="24"/>
        </w:rPr>
      </w:pPr>
      <w:r>
        <w:rPr>
          <w:sz w:val="24"/>
        </w:rPr>
        <w:t>Приложение № 2</w:t>
      </w:r>
    </w:p>
    <w:p>
      <w:pPr>
        <w:spacing w:before="0"/>
        <w:ind w:left="7392" w:right="110" w:firstLine="0"/>
        <w:jc w:val="left"/>
        <w:rPr>
          <w:sz w:val="24"/>
        </w:rPr>
      </w:pPr>
      <w:r>
        <w:rPr>
          <w:sz w:val="24"/>
        </w:rPr>
        <w:t>к приказу ФАУ «ФЦС» от 20.12.2019 г. № 570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298" w:lineRule="exact"/>
        <w:rPr>
          <w:u w:val="none"/>
        </w:rPr>
      </w:pPr>
      <w:r>
        <w:rPr>
          <w:u w:val="none"/>
        </w:rPr>
        <w:t>ОБЪЯВЛЕНИЕ</w:t>
      </w:r>
    </w:p>
    <w:p>
      <w:pPr>
        <w:spacing w:line="298" w:lineRule="exact" w:before="0"/>
        <w:ind w:left="27" w:right="0" w:firstLine="0"/>
        <w:jc w:val="center"/>
        <w:rPr>
          <w:b/>
          <w:sz w:val="26"/>
        </w:rPr>
      </w:pPr>
      <w:r>
        <w:rPr>
          <w:b/>
          <w:sz w:val="26"/>
        </w:rPr>
        <w:t>о проведении открытого публичного конкурса</w:t>
      </w:r>
    </w:p>
    <w:p>
      <w:pPr>
        <w:spacing w:before="1"/>
        <w:ind w:left="462" w:right="438" w:hanging="1"/>
        <w:jc w:val="center"/>
        <w:rPr>
          <w:b/>
          <w:sz w:val="26"/>
        </w:rPr>
      </w:pPr>
      <w:r>
        <w:rPr>
          <w:b/>
          <w:sz w:val="26"/>
        </w:rPr>
        <w:t>на лучший архитектурный проект центральной районной больницы проектной мощностью на 80, 240 и 400 коек для обслуживания населения численностью 30, 50 и 100 тысяч человек соответственно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right="271"/>
      </w:pPr>
      <w:r>
        <w:rPr/>
        <w:t>Министерство строительства и жилищно-коммунального хозяйства Российской Федерации (Минстрой России), Министерство здравоохранения Российской Федерации (Минздрав России), Федеральное автономное учреждение</w:t>
      </w:r>
    </w:p>
    <w:p>
      <w:pPr>
        <w:pStyle w:val="BodyText"/>
        <w:spacing w:before="1"/>
        <w:ind w:right="268" w:firstLine="0"/>
      </w:pPr>
      <w:r>
        <w:rPr/>
        <w:t>«Федеральный центр нормирования, стандартизации и технической оценки соответствия в строительстве» (ФАУ «ФЦС», Организатор конкурса) и Общероссийская творческая профессиональная общественная организация «Союз архитекторов России» (Оператор конкурса) объявляют о проведении открытого публичного конкурса на лучший архитектурный проект центральной районной больницы проектной мощностью на 80, 240 и 400 коек для обслуживания населения численностью 30, 50 и 100 тысяч человек соответственно (далее – конкурс).</w:t>
      </w:r>
    </w:p>
    <w:p>
      <w:pPr>
        <w:pStyle w:val="BodyText"/>
        <w:ind w:right="268"/>
      </w:pPr>
      <w:r>
        <w:rPr/>
        <w:t>Конкурс проводится в два тура. Первый тур конкурса направлен на осуществление предварительного отбора участников конкурса (далее – предварительный отбор), осуществляемый с целью определения квалификации участников конкурса.</w:t>
      </w:r>
    </w:p>
    <w:p>
      <w:pPr>
        <w:pStyle w:val="BodyText"/>
        <w:spacing w:before="1"/>
        <w:ind w:right="268"/>
      </w:pPr>
      <w:r>
        <w:rPr/>
        <w:t>Второй тур конкурса (далее – второй тур) проводится среди лиц, прошедших предварительный отбор (лиц, чьи заявки прошли предварительный отбор), и направлен на определение победителя конкурса путем оценки и сопоставления конкурсных проектов.</w:t>
      </w:r>
    </w:p>
    <w:p>
      <w:pPr>
        <w:pStyle w:val="Heading1"/>
        <w:spacing w:before="126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Существо задания на разработку конкурсного проекта</w:t>
      </w:r>
    </w:p>
    <w:p>
      <w:pPr>
        <w:pStyle w:val="BodyText"/>
        <w:spacing w:before="114"/>
        <w:ind w:right="275"/>
      </w:pPr>
      <w:r>
        <w:rPr/>
        <w:t>Предметом конкурса является лучшее выполнение архитектурных проектов для строительства центральных районных больниц на 80, 240 и 400 коек для обслуживания населения численностью 30, 50 и 100 тысяч человек соответственно, отвечающих требованиям настоящей конкурсной документации.</w:t>
      </w:r>
    </w:p>
    <w:p>
      <w:pPr>
        <w:pStyle w:val="BodyText"/>
        <w:spacing w:line="298" w:lineRule="exact"/>
        <w:ind w:left="1010" w:firstLine="0"/>
      </w:pPr>
      <w:r>
        <w:rPr/>
        <w:t>Участники конкурса должны: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0" w:after="0"/>
        <w:ind w:left="302" w:right="268" w:firstLine="707"/>
        <w:jc w:val="both"/>
        <w:rPr>
          <w:sz w:val="26"/>
        </w:rPr>
      </w:pPr>
      <w:r>
        <w:rPr>
          <w:sz w:val="26"/>
        </w:rPr>
        <w:t>предложить архитектурный проект объекта (из состава объектов, указанных в Техническом задании (приложении № 1 к Конкурсной документации) для строительства в климатической зоне II В c возможностью адаптации этого объекта для строительства во всех климатических районах (кроме районов вечной мерзлоты), для участков со сложной гидрогеологией и в зонах, характеризующихся сейсмической активностью выше 6 (шести)</w:t>
      </w:r>
      <w:r>
        <w:rPr>
          <w:spacing w:val="-4"/>
          <w:sz w:val="26"/>
        </w:rPr>
        <w:t> </w:t>
      </w:r>
      <w:r>
        <w:rPr>
          <w:sz w:val="26"/>
        </w:rPr>
        <w:t>баллов;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1" w:after="0"/>
        <w:ind w:left="302" w:right="272" w:firstLine="707"/>
        <w:jc w:val="both"/>
        <w:rPr>
          <w:sz w:val="26"/>
        </w:rPr>
      </w:pPr>
      <w:r>
        <w:rPr>
          <w:sz w:val="26"/>
        </w:rPr>
        <w:t>разработать предложения по компоновке функционально-технологических зон объекта (компоновочные схемы), максимально раскрывающие возможности их применения при застройке геометрически сложных земельных участков городских поселений.</w:t>
      </w:r>
    </w:p>
    <w:p>
      <w:pPr>
        <w:pStyle w:val="BodyText"/>
        <w:ind w:right="269"/>
      </w:pPr>
      <w:r>
        <w:rPr/>
        <w:t>Конкурсные проекты подлежат разработке в соответствии исходными данными, требованиям к составу и разработке конкурсного проекта, а также формату его представления на конкурс, указанным в Техническом задании на разработку конкурсного проекта.</w:t>
      </w:r>
    </w:p>
    <w:p>
      <w:pPr>
        <w:spacing w:after="0"/>
        <w:sectPr>
          <w:type w:val="continuous"/>
          <w:pgSz w:w="11910" w:h="16840"/>
          <w:pgMar w:top="760" w:bottom="280" w:left="1400" w:right="580"/>
        </w:sectPr>
      </w:pPr>
    </w:p>
    <w:p>
      <w:pPr>
        <w:pStyle w:val="Heading1"/>
        <w:spacing w:before="7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Жюри конкурса</w:t>
      </w:r>
    </w:p>
    <w:p>
      <w:pPr>
        <w:pStyle w:val="BodyText"/>
        <w:spacing w:before="10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9"/>
        <w:gridCol w:w="464"/>
        <w:gridCol w:w="5143"/>
      </w:tblGrid>
      <w:tr>
        <w:trPr>
          <w:trHeight w:val="635" w:hRule="atLeast"/>
        </w:trPr>
        <w:tc>
          <w:tcPr>
            <w:tcW w:w="699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09" w:type="dxa"/>
          </w:tcPr>
          <w:p>
            <w:pPr>
              <w:pStyle w:val="TableParagraph"/>
              <w:spacing w:line="287" w:lineRule="exact"/>
              <w:ind w:left="175"/>
              <w:rPr>
                <w:sz w:val="26"/>
              </w:rPr>
            </w:pPr>
            <w:r>
              <w:rPr>
                <w:sz w:val="26"/>
              </w:rPr>
              <w:t>Басов</w:t>
            </w:r>
          </w:p>
          <w:p>
            <w:pPr>
              <w:pStyle w:val="TableParagraph"/>
              <w:spacing w:line="298" w:lineRule="exact"/>
              <w:ind w:left="175"/>
              <w:rPr>
                <w:sz w:val="26"/>
              </w:rPr>
            </w:pPr>
            <w:r>
              <w:rPr>
                <w:sz w:val="26"/>
              </w:rPr>
              <w:t>Андрей Викторович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87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директор ФАУ «ФЦС»;</w:t>
            </w:r>
          </w:p>
        </w:tc>
      </w:tr>
      <w:tr>
        <w:trPr>
          <w:trHeight w:val="1839" w:hRule="atLeast"/>
        </w:trPr>
        <w:tc>
          <w:tcPr>
            <w:tcW w:w="699" w:type="dxa"/>
          </w:tcPr>
          <w:p>
            <w:pPr>
              <w:pStyle w:val="TableParagraph"/>
              <w:spacing w:before="39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09" w:type="dxa"/>
          </w:tcPr>
          <w:p>
            <w:pPr>
              <w:pStyle w:val="TableParagraph"/>
              <w:spacing w:before="39"/>
              <w:ind w:left="175"/>
              <w:rPr>
                <w:sz w:val="26"/>
              </w:rPr>
            </w:pPr>
            <w:r>
              <w:rPr>
                <w:sz w:val="26"/>
              </w:rPr>
              <w:t>Шумаков</w:t>
            </w:r>
          </w:p>
          <w:p>
            <w:pPr>
              <w:pStyle w:val="TableParagraph"/>
              <w:spacing w:before="1"/>
              <w:ind w:left="175"/>
              <w:rPr>
                <w:sz w:val="26"/>
              </w:rPr>
            </w:pPr>
            <w:r>
              <w:rPr>
                <w:sz w:val="26"/>
              </w:rPr>
              <w:t>Николай Иванович</w:t>
            </w:r>
          </w:p>
        </w:tc>
        <w:tc>
          <w:tcPr>
            <w:tcW w:w="464" w:type="dxa"/>
          </w:tcPr>
          <w:p>
            <w:pPr>
              <w:pStyle w:val="TableParagraph"/>
              <w:spacing w:before="39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spacing w:before="39"/>
              <w:ind w:right="188"/>
              <w:rPr>
                <w:sz w:val="26"/>
              </w:rPr>
            </w:pPr>
            <w:r>
              <w:rPr>
                <w:sz w:val="26"/>
              </w:rPr>
              <w:t>президент Союза архитекторов России, Народный архитектор России, академик Российской академии художеств, академик отделения Международной академии</w:t>
            </w:r>
          </w:p>
          <w:p>
            <w:pPr>
              <w:pStyle w:val="TableParagraph"/>
              <w:spacing w:line="298" w:lineRule="exact" w:before="6"/>
              <w:ind w:right="1229"/>
              <w:rPr>
                <w:sz w:val="26"/>
              </w:rPr>
            </w:pPr>
            <w:r>
              <w:rPr>
                <w:sz w:val="26"/>
              </w:rPr>
              <w:t>архитектуры в Москве (МААМ) (по согласованию);</w:t>
            </w:r>
          </w:p>
        </w:tc>
      </w:tr>
      <w:tr>
        <w:trPr>
          <w:trHeight w:val="2093" w:hRule="atLeast"/>
        </w:trPr>
        <w:tc>
          <w:tcPr>
            <w:tcW w:w="699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409" w:type="dxa"/>
          </w:tcPr>
          <w:p>
            <w:pPr>
              <w:pStyle w:val="TableParagraph"/>
              <w:spacing w:line="293" w:lineRule="exact"/>
              <w:ind w:left="175"/>
              <w:rPr>
                <w:sz w:val="26"/>
              </w:rPr>
            </w:pPr>
            <w:r>
              <w:rPr>
                <w:sz w:val="26"/>
              </w:rPr>
              <w:t>Плоткин</w:t>
            </w:r>
          </w:p>
          <w:p>
            <w:pPr>
              <w:pStyle w:val="TableParagraph"/>
              <w:spacing w:line="298" w:lineRule="exact"/>
              <w:ind w:left="175"/>
              <w:rPr>
                <w:sz w:val="26"/>
              </w:rPr>
            </w:pPr>
            <w:r>
              <w:rPr>
                <w:sz w:val="26"/>
              </w:rPr>
              <w:t>Владимир Ионович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94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ind w:right="280"/>
              <w:rPr>
                <w:sz w:val="26"/>
              </w:rPr>
            </w:pPr>
            <w:r>
              <w:rPr>
                <w:sz w:val="26"/>
              </w:rPr>
              <w:t>главный архитектор ООО «ТПО «Резерв», Заслуженный архитектор России,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профессор МААМ, член правления Межрегиональной общественной организации «Союз московских</w:t>
            </w:r>
          </w:p>
          <w:p>
            <w:pPr>
              <w:pStyle w:val="TableParagraph"/>
              <w:spacing w:line="298" w:lineRule="exact"/>
              <w:ind w:right="302"/>
              <w:rPr>
                <w:sz w:val="26"/>
              </w:rPr>
            </w:pPr>
            <w:r>
              <w:rPr>
                <w:sz w:val="26"/>
              </w:rPr>
              <w:t>архитекторов» (СМА), профессор МАрхИ (по согласованию);</w:t>
            </w:r>
          </w:p>
        </w:tc>
      </w:tr>
      <w:tr>
        <w:trPr>
          <w:trHeight w:val="1196" w:hRule="atLeast"/>
        </w:trPr>
        <w:tc>
          <w:tcPr>
            <w:tcW w:w="699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409" w:type="dxa"/>
          </w:tcPr>
          <w:p>
            <w:pPr>
              <w:pStyle w:val="TableParagraph"/>
              <w:spacing w:line="293" w:lineRule="exact"/>
              <w:ind w:left="175"/>
              <w:rPr>
                <w:sz w:val="26"/>
              </w:rPr>
            </w:pPr>
            <w:r>
              <w:rPr>
                <w:sz w:val="26"/>
              </w:rPr>
              <w:t>Легошин</w:t>
            </w:r>
          </w:p>
          <w:p>
            <w:pPr>
              <w:pStyle w:val="TableParagraph"/>
              <w:spacing w:line="298" w:lineRule="exact"/>
              <w:ind w:left="175"/>
              <w:rPr>
                <w:sz w:val="26"/>
              </w:rPr>
            </w:pPr>
            <w:r>
              <w:rPr>
                <w:sz w:val="26"/>
              </w:rPr>
              <w:t>Владимир Константинович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94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ind w:right="535"/>
              <w:rPr>
                <w:sz w:val="26"/>
              </w:rPr>
            </w:pPr>
            <w:r>
              <w:rPr>
                <w:sz w:val="26"/>
              </w:rPr>
              <w:t>Заслуженный архитектор России, член Гильдии экспертов Союза архитекторов России</w:t>
            </w:r>
          </w:p>
          <w:p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(по согласованию);</w:t>
            </w:r>
          </w:p>
        </w:tc>
      </w:tr>
      <w:tr>
        <w:trPr>
          <w:trHeight w:val="1495" w:hRule="atLeast"/>
        </w:trPr>
        <w:tc>
          <w:tcPr>
            <w:tcW w:w="699" w:type="dxa"/>
          </w:tcPr>
          <w:p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409" w:type="dxa"/>
          </w:tcPr>
          <w:p>
            <w:pPr>
              <w:pStyle w:val="TableParagraph"/>
              <w:spacing w:line="292" w:lineRule="exact"/>
              <w:ind w:left="175"/>
              <w:rPr>
                <w:sz w:val="26"/>
              </w:rPr>
            </w:pPr>
            <w:r>
              <w:rPr>
                <w:sz w:val="26"/>
              </w:rPr>
              <w:t>Левянт</w:t>
            </w:r>
          </w:p>
          <w:p>
            <w:pPr>
              <w:pStyle w:val="TableParagraph"/>
              <w:spacing w:before="1"/>
              <w:ind w:left="175"/>
              <w:rPr>
                <w:sz w:val="26"/>
              </w:rPr>
            </w:pPr>
            <w:r>
              <w:rPr>
                <w:sz w:val="26"/>
              </w:rPr>
              <w:t>Борис Владимирович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92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генеральный директор ООО «Архитекторы АБД», действительный член МААМ,</w:t>
            </w:r>
          </w:p>
          <w:p>
            <w:pPr>
              <w:pStyle w:val="TableParagraph"/>
              <w:ind w:right="1521"/>
              <w:rPr>
                <w:sz w:val="26"/>
              </w:rPr>
            </w:pPr>
            <w:r>
              <w:rPr>
                <w:sz w:val="26"/>
              </w:rPr>
              <w:t>советник Российской академии архитектуры, член СМА</w:t>
            </w:r>
          </w:p>
          <w:p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(по согласованию);</w:t>
            </w:r>
          </w:p>
        </w:tc>
      </w:tr>
      <w:tr>
        <w:trPr>
          <w:trHeight w:val="1493" w:hRule="atLeast"/>
        </w:trPr>
        <w:tc>
          <w:tcPr>
            <w:tcW w:w="699" w:type="dxa"/>
          </w:tcPr>
          <w:p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409" w:type="dxa"/>
          </w:tcPr>
          <w:p>
            <w:pPr>
              <w:pStyle w:val="TableParagraph"/>
              <w:spacing w:line="292" w:lineRule="exact"/>
              <w:ind w:left="175"/>
              <w:rPr>
                <w:sz w:val="26"/>
              </w:rPr>
            </w:pPr>
            <w:r>
              <w:rPr>
                <w:sz w:val="26"/>
              </w:rPr>
              <w:t>Вергазова</w:t>
            </w:r>
          </w:p>
          <w:p>
            <w:pPr>
              <w:pStyle w:val="TableParagraph"/>
              <w:spacing w:before="1"/>
              <w:ind w:left="175"/>
              <w:rPr>
                <w:sz w:val="26"/>
              </w:rPr>
            </w:pPr>
            <w:r>
              <w:rPr>
                <w:sz w:val="26"/>
              </w:rPr>
              <w:t>Эльмира Камильевна</w:t>
            </w:r>
          </w:p>
        </w:tc>
        <w:tc>
          <w:tcPr>
            <w:tcW w:w="464" w:type="dxa"/>
          </w:tcPr>
          <w:p>
            <w:pPr>
              <w:pStyle w:val="TableParagraph"/>
              <w:spacing w:line="292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ind w:right="834"/>
              <w:rPr>
                <w:sz w:val="26"/>
              </w:rPr>
            </w:pPr>
            <w:r>
              <w:rPr>
                <w:sz w:val="26"/>
              </w:rPr>
              <w:t>заместитель директора Департамента организации медицинской помощи и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санаторно-курортного дела Минздрава России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(по согласованию);</w:t>
            </w:r>
          </w:p>
        </w:tc>
      </w:tr>
      <w:tr>
        <w:trPr>
          <w:trHeight w:val="897" w:hRule="atLeast"/>
        </w:trPr>
        <w:tc>
          <w:tcPr>
            <w:tcW w:w="699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409" w:type="dxa"/>
          </w:tcPr>
          <w:p>
            <w:pPr>
              <w:pStyle w:val="TableParagraph"/>
              <w:ind w:left="175" w:right="1052"/>
              <w:rPr>
                <w:sz w:val="26"/>
              </w:rPr>
            </w:pPr>
            <w:r>
              <w:rPr>
                <w:sz w:val="26"/>
              </w:rPr>
              <w:t>Перепелкин Андрей Евгеньевич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94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заместитель директора Финансово-</w:t>
            </w:r>
          </w:p>
          <w:p>
            <w:pPr>
              <w:pStyle w:val="TableParagraph"/>
              <w:spacing w:line="298" w:lineRule="exact" w:before="5"/>
              <w:rPr>
                <w:sz w:val="26"/>
              </w:rPr>
            </w:pPr>
            <w:r>
              <w:rPr>
                <w:sz w:val="26"/>
              </w:rPr>
              <w:t>экономического департамента Минздрава России (по согласованию);</w:t>
            </w:r>
          </w:p>
        </w:tc>
      </w:tr>
      <w:tr>
        <w:trPr>
          <w:trHeight w:val="1195" w:hRule="atLeast"/>
        </w:trPr>
        <w:tc>
          <w:tcPr>
            <w:tcW w:w="699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409" w:type="dxa"/>
          </w:tcPr>
          <w:p>
            <w:pPr>
              <w:pStyle w:val="TableParagraph"/>
              <w:spacing w:line="293" w:lineRule="exact"/>
              <w:ind w:left="175"/>
              <w:rPr>
                <w:sz w:val="26"/>
              </w:rPr>
            </w:pPr>
            <w:r>
              <w:rPr>
                <w:sz w:val="26"/>
              </w:rPr>
              <w:t>Чумакова</w:t>
            </w:r>
          </w:p>
          <w:p>
            <w:pPr>
              <w:pStyle w:val="TableParagraph"/>
              <w:spacing w:line="299" w:lineRule="exact"/>
              <w:ind w:left="175"/>
              <w:rPr>
                <w:sz w:val="26"/>
              </w:rPr>
            </w:pPr>
            <w:r>
              <w:rPr>
                <w:sz w:val="26"/>
              </w:rPr>
              <w:t>Ольга Васильевна</w:t>
            </w:r>
          </w:p>
        </w:tc>
        <w:tc>
          <w:tcPr>
            <w:tcW w:w="464" w:type="dxa"/>
          </w:tcPr>
          <w:p>
            <w:pPr>
              <w:pStyle w:val="TableParagraph"/>
              <w:spacing w:line="294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заместитель директора Департамента медицинской помощи детям и службы</w:t>
            </w:r>
          </w:p>
          <w:p>
            <w:pPr>
              <w:pStyle w:val="TableParagraph"/>
              <w:spacing w:line="298" w:lineRule="exact"/>
              <w:ind w:right="535"/>
              <w:rPr>
                <w:sz w:val="26"/>
              </w:rPr>
            </w:pPr>
            <w:r>
              <w:rPr>
                <w:sz w:val="26"/>
              </w:rPr>
              <w:t>родовспоможения Минздрава России (по согласованию);</w:t>
            </w:r>
          </w:p>
        </w:tc>
      </w:tr>
      <w:tr>
        <w:trPr>
          <w:trHeight w:val="1196" w:hRule="atLeast"/>
        </w:trPr>
        <w:tc>
          <w:tcPr>
            <w:tcW w:w="699" w:type="dxa"/>
          </w:tcPr>
          <w:p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409" w:type="dxa"/>
          </w:tcPr>
          <w:p>
            <w:pPr>
              <w:pStyle w:val="TableParagraph"/>
              <w:spacing w:line="294" w:lineRule="exact"/>
              <w:ind w:left="175"/>
              <w:rPr>
                <w:sz w:val="26"/>
              </w:rPr>
            </w:pPr>
            <w:r>
              <w:rPr>
                <w:sz w:val="26"/>
              </w:rPr>
              <w:t>Дашкова</w:t>
            </w:r>
          </w:p>
          <w:p>
            <w:pPr>
              <w:pStyle w:val="TableParagraph"/>
              <w:spacing w:before="1"/>
              <w:ind w:left="175"/>
              <w:rPr>
                <w:sz w:val="26"/>
              </w:rPr>
            </w:pPr>
            <w:r>
              <w:rPr>
                <w:sz w:val="26"/>
              </w:rPr>
              <w:t>Ольга Александровна</w:t>
            </w:r>
          </w:p>
        </w:tc>
        <w:tc>
          <w:tcPr>
            <w:tcW w:w="464" w:type="dxa"/>
          </w:tcPr>
          <w:p>
            <w:pPr>
              <w:pStyle w:val="TableParagraph"/>
              <w:spacing w:line="294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ind w:right="834"/>
              <w:rPr>
                <w:sz w:val="26"/>
              </w:rPr>
            </w:pPr>
            <w:r>
              <w:rPr>
                <w:sz w:val="26"/>
              </w:rPr>
              <w:t>заместитель директора Департамента градостроительной деятельности и</w:t>
            </w:r>
          </w:p>
          <w:p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архитектуры Минстроя России (по согласованию);</w:t>
            </w:r>
          </w:p>
        </w:tc>
      </w:tr>
      <w:tr>
        <w:trPr>
          <w:trHeight w:val="1493" w:hRule="atLeast"/>
        </w:trPr>
        <w:tc>
          <w:tcPr>
            <w:tcW w:w="699" w:type="dxa"/>
          </w:tcPr>
          <w:p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409" w:type="dxa"/>
          </w:tcPr>
          <w:p>
            <w:pPr>
              <w:pStyle w:val="TableParagraph"/>
              <w:spacing w:line="291" w:lineRule="exact"/>
              <w:ind w:left="175"/>
              <w:rPr>
                <w:sz w:val="26"/>
              </w:rPr>
            </w:pPr>
            <w:r>
              <w:rPr>
                <w:sz w:val="26"/>
              </w:rPr>
              <w:t>Зосимова</w:t>
            </w:r>
          </w:p>
          <w:p>
            <w:pPr>
              <w:pStyle w:val="TableParagraph"/>
              <w:spacing w:before="1"/>
              <w:ind w:left="175"/>
              <w:rPr>
                <w:sz w:val="26"/>
              </w:rPr>
            </w:pPr>
            <w:r>
              <w:rPr>
                <w:sz w:val="26"/>
              </w:rPr>
              <w:t>Олеся Сергеевна</w:t>
            </w:r>
          </w:p>
        </w:tc>
        <w:tc>
          <w:tcPr>
            <w:tcW w:w="464" w:type="dxa"/>
          </w:tcPr>
          <w:p>
            <w:pPr>
              <w:pStyle w:val="TableParagraph"/>
              <w:spacing w:line="291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советник отдела градостроительного зонирования Департамента градостроительной деятельности и</w:t>
            </w:r>
          </w:p>
          <w:p>
            <w:pPr>
              <w:pStyle w:val="TableParagraph"/>
              <w:spacing w:line="300" w:lineRule="exact"/>
              <w:ind w:right="1229"/>
              <w:rPr>
                <w:sz w:val="26"/>
              </w:rPr>
            </w:pPr>
            <w:r>
              <w:rPr>
                <w:sz w:val="26"/>
              </w:rPr>
              <w:t>архитектуры Минстроя России (по согласованию);</w:t>
            </w:r>
          </w:p>
        </w:tc>
      </w:tr>
      <w:tr>
        <w:trPr>
          <w:trHeight w:val="589" w:hRule="atLeast"/>
        </w:trPr>
        <w:tc>
          <w:tcPr>
            <w:tcW w:w="699" w:type="dxa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409" w:type="dxa"/>
          </w:tcPr>
          <w:p>
            <w:pPr>
              <w:pStyle w:val="TableParagraph"/>
              <w:spacing w:line="290" w:lineRule="exact"/>
              <w:ind w:left="175"/>
              <w:rPr>
                <w:sz w:val="26"/>
              </w:rPr>
            </w:pPr>
            <w:r>
              <w:rPr>
                <w:sz w:val="26"/>
              </w:rPr>
              <w:t>Алешонков</w:t>
            </w:r>
          </w:p>
          <w:p>
            <w:pPr>
              <w:pStyle w:val="TableParagraph"/>
              <w:spacing w:line="279" w:lineRule="exact" w:before="1"/>
              <w:ind w:left="175"/>
              <w:rPr>
                <w:sz w:val="26"/>
              </w:rPr>
            </w:pPr>
            <w:r>
              <w:rPr>
                <w:sz w:val="26"/>
              </w:rPr>
              <w:t>Иван Владимирович</w:t>
            </w:r>
          </w:p>
        </w:tc>
        <w:tc>
          <w:tcPr>
            <w:tcW w:w="464" w:type="dxa"/>
          </w:tcPr>
          <w:p>
            <w:pPr>
              <w:pStyle w:val="TableParagraph"/>
              <w:spacing w:line="290" w:lineRule="exact"/>
              <w:ind w:left="0" w:right="1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143" w:type="dxa"/>
          </w:tcPr>
          <w:p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начальник отдела подготовки и</w:t>
            </w:r>
          </w:p>
          <w:p>
            <w:pPr>
              <w:pStyle w:val="TableParagraph"/>
              <w:spacing w:line="279" w:lineRule="exact" w:before="1"/>
              <w:rPr>
                <w:sz w:val="26"/>
              </w:rPr>
            </w:pPr>
            <w:r>
              <w:rPr>
                <w:sz w:val="26"/>
              </w:rPr>
              <w:t>сопровождения договоров ФАУ «ФЦС»;</w:t>
            </w:r>
          </w:p>
        </w:tc>
      </w:tr>
    </w:tbl>
    <w:p>
      <w:pPr>
        <w:spacing w:after="0" w:line="279" w:lineRule="exact"/>
        <w:rPr>
          <w:sz w:val="26"/>
        </w:rPr>
        <w:sectPr>
          <w:headerReference w:type="default" r:id="rId5"/>
          <w:pgSz w:w="11910" w:h="16840"/>
          <w:pgMar w:header="710" w:footer="0" w:top="920" w:bottom="280" w:left="1400" w:right="580"/>
          <w:pgNumType w:start="2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021"/>
        <w:gridCol w:w="853"/>
        <w:gridCol w:w="4184"/>
      </w:tblGrid>
      <w:tr>
        <w:trPr>
          <w:trHeight w:val="652" w:hRule="atLeast"/>
        </w:trPr>
        <w:tc>
          <w:tcPr>
            <w:tcW w:w="699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021" w:type="dxa"/>
          </w:tcPr>
          <w:p>
            <w:pPr>
              <w:pStyle w:val="TableParagraph"/>
              <w:ind w:left="175" w:right="628"/>
              <w:rPr>
                <w:sz w:val="26"/>
              </w:rPr>
            </w:pPr>
            <w:r>
              <w:rPr>
                <w:sz w:val="26"/>
              </w:rPr>
              <w:t>Визерский Дмитрий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853" w:type="dxa"/>
          </w:tcPr>
          <w:p>
            <w:pPr>
              <w:pStyle w:val="TableParagraph"/>
              <w:spacing w:line="287" w:lineRule="exact"/>
              <w:ind w:left="0" w:right="12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184" w:type="dxa"/>
          </w:tcPr>
          <w:p>
            <w:pPr>
              <w:pStyle w:val="TableParagraph"/>
              <w:spacing w:line="287" w:lineRule="exact"/>
              <w:ind w:left="106" w:right="177"/>
              <w:jc w:val="center"/>
              <w:rPr>
                <w:sz w:val="26"/>
              </w:rPr>
            </w:pPr>
            <w:r>
              <w:rPr>
                <w:sz w:val="26"/>
              </w:rPr>
              <w:t>главный специалист ФАУ «ФЦС»;</w:t>
            </w:r>
          </w:p>
        </w:tc>
      </w:tr>
      <w:tr>
        <w:trPr>
          <w:trHeight w:val="650" w:hRule="atLeast"/>
        </w:trPr>
        <w:tc>
          <w:tcPr>
            <w:tcW w:w="699" w:type="dxa"/>
          </w:tcPr>
          <w:p>
            <w:pPr>
              <w:pStyle w:val="TableParagraph"/>
              <w:spacing w:before="53"/>
              <w:ind w:left="200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021" w:type="dxa"/>
          </w:tcPr>
          <w:p>
            <w:pPr>
              <w:pStyle w:val="TableParagraph"/>
              <w:spacing w:line="298" w:lineRule="exact" w:before="53"/>
              <w:ind w:left="175"/>
              <w:rPr>
                <w:sz w:val="26"/>
              </w:rPr>
            </w:pPr>
            <w:r>
              <w:rPr>
                <w:sz w:val="26"/>
              </w:rPr>
              <w:t>Калугин</w:t>
            </w:r>
          </w:p>
          <w:p>
            <w:pPr>
              <w:pStyle w:val="TableParagraph"/>
              <w:spacing w:line="278" w:lineRule="exact"/>
              <w:ind w:left="175"/>
              <w:rPr>
                <w:sz w:val="26"/>
              </w:rPr>
            </w:pPr>
            <w:r>
              <w:rPr>
                <w:sz w:val="26"/>
              </w:rPr>
              <w:t>Сергей Михайлович</w:t>
            </w:r>
          </w:p>
        </w:tc>
        <w:tc>
          <w:tcPr>
            <w:tcW w:w="853" w:type="dxa"/>
          </w:tcPr>
          <w:p>
            <w:pPr>
              <w:pStyle w:val="TableParagraph"/>
              <w:spacing w:before="53"/>
              <w:ind w:left="0" w:right="12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184" w:type="dxa"/>
          </w:tcPr>
          <w:p>
            <w:pPr>
              <w:pStyle w:val="TableParagraph"/>
              <w:spacing w:before="53"/>
              <w:ind w:left="98" w:right="177"/>
              <w:jc w:val="center"/>
              <w:rPr>
                <w:sz w:val="26"/>
              </w:rPr>
            </w:pPr>
            <w:r>
              <w:rPr>
                <w:sz w:val="26"/>
              </w:rPr>
              <w:t>главный специалист ФАУ «ФЦС».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sz w:val="12"/>
        </w:rPr>
      </w:pPr>
    </w:p>
    <w:p>
      <w:pPr>
        <w:spacing w:before="89"/>
        <w:ind w:left="29" w:right="0" w:firstLine="0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> </w:t>
      </w:r>
      <w:r>
        <w:rPr>
          <w:b/>
          <w:sz w:val="26"/>
          <w:u w:val="thick"/>
        </w:rPr>
        <w:t>Порядок получения конкурсной документации</w:t>
      </w:r>
    </w:p>
    <w:p>
      <w:pPr>
        <w:pStyle w:val="BodyText"/>
        <w:spacing w:before="111"/>
        <w:ind w:right="267"/>
      </w:pPr>
      <w:r>
        <w:rPr/>
        <w:t>Лица, желающие принять участие в конкурсе, вправе получить Конкурсную документацию, включающую, в том числе Техническое задание и условия конкурса, в информационно-телекоммуникационной сети «Интернет» на официальных сайтах ФАУ «ФЦС» по адресу </w:t>
      </w:r>
      <w:hyperlink r:id="rId6">
        <w:r>
          <w:rPr>
            <w:color w:val="0000FF"/>
            <w:u w:val="single" w:color="0000FF"/>
          </w:rPr>
          <w:t>www.faufcc.ru</w:t>
        </w:r>
        <w:r>
          <w:rPr>
            <w:color w:val="0000FF"/>
          </w:rPr>
          <w:t> </w:t>
        </w:r>
      </w:hyperlink>
      <w:r>
        <w:rPr/>
        <w:t>и Оператора конкурса по адресу </w:t>
      </w:r>
      <w:hyperlink r:id="rId7">
        <w:r>
          <w:rPr>
            <w:color w:val="0000FF"/>
            <w:u w:val="single" w:color="0000FF"/>
          </w:rPr>
          <w:t>www.uar.ru</w:t>
        </w:r>
      </w:hyperlink>
      <w:r>
        <w:rPr/>
        <w:t>.</w:t>
      </w:r>
    </w:p>
    <w:p>
      <w:pPr>
        <w:spacing w:before="120"/>
        <w:ind w:left="1010" w:right="0" w:firstLine="0"/>
        <w:jc w:val="both"/>
        <w:rPr>
          <w:b/>
          <w:sz w:val="26"/>
        </w:rPr>
      </w:pPr>
      <w:r>
        <w:rPr>
          <w:sz w:val="26"/>
        </w:rPr>
        <w:t>Для участия в конкурсе регистрационный взнос </w:t>
      </w:r>
      <w:r>
        <w:rPr>
          <w:b/>
          <w:sz w:val="26"/>
        </w:rPr>
        <w:t>не устанавливается.</w:t>
      </w:r>
    </w:p>
    <w:p>
      <w:pPr>
        <w:pStyle w:val="Heading1"/>
        <w:spacing w:line="298" w:lineRule="exact" w:before="129"/>
        <w:ind w:left="31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Порядок, место, дата начала и дата окончания представления</w:t>
      </w:r>
    </w:p>
    <w:p>
      <w:pPr>
        <w:spacing w:line="298" w:lineRule="exact" w:before="0"/>
        <w:ind w:left="29" w:right="0" w:firstLine="0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> </w:t>
      </w:r>
      <w:r>
        <w:rPr>
          <w:b/>
          <w:sz w:val="26"/>
          <w:u w:val="thick"/>
        </w:rPr>
        <w:t>конкурсных материалов</w:t>
      </w:r>
    </w:p>
    <w:p>
      <w:pPr>
        <w:pStyle w:val="BodyText"/>
        <w:spacing w:before="114"/>
        <w:ind w:right="273"/>
      </w:pPr>
      <w:r>
        <w:rPr/>
        <w:t>Для участия в конкурсе лицо, желающее принять в нем участие, представляет оператору конкурса конкурсные материалы в составе, предусмотренном Конкурсной</w:t>
      </w:r>
      <w:r>
        <w:rPr>
          <w:spacing w:val="-1"/>
        </w:rPr>
        <w:t> </w:t>
      </w:r>
      <w:r>
        <w:rPr/>
        <w:t>документацией.</w:t>
      </w:r>
    </w:p>
    <w:p>
      <w:pPr>
        <w:pStyle w:val="BodyText"/>
        <w:spacing w:line="298" w:lineRule="exact" w:before="1"/>
        <w:ind w:left="1010" w:firstLine="0"/>
      </w:pPr>
      <w:r>
        <w:rPr/>
        <w:t>Конкурсные материалы представляются в два этапа: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40" w:lineRule="auto" w:before="0" w:after="0"/>
        <w:ind w:left="302" w:right="270" w:firstLine="707"/>
        <w:jc w:val="both"/>
        <w:rPr>
          <w:sz w:val="26"/>
        </w:rPr>
      </w:pPr>
      <w:r>
        <w:rPr>
          <w:sz w:val="26"/>
        </w:rPr>
        <w:t>первый этап – представление документов и сведений для участия в предварительном отборе (в том числе представление заявки на участие в предварительном отборе по форме, установленной в Конкурсной</w:t>
      </w:r>
      <w:r>
        <w:rPr>
          <w:spacing w:val="-16"/>
          <w:sz w:val="26"/>
        </w:rPr>
        <w:t> </w:t>
      </w:r>
      <w:r>
        <w:rPr>
          <w:sz w:val="26"/>
        </w:rPr>
        <w:t>документации);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</w:tabs>
        <w:spacing w:line="240" w:lineRule="auto" w:before="0" w:after="0"/>
        <w:ind w:left="302" w:right="274" w:firstLine="707"/>
        <w:jc w:val="both"/>
        <w:rPr>
          <w:sz w:val="26"/>
        </w:rPr>
      </w:pPr>
      <w:r>
        <w:rPr>
          <w:sz w:val="26"/>
        </w:rPr>
        <w:t>второй этап – представление документов и материалов для участия во втором туре конкурса.</w:t>
      </w:r>
    </w:p>
    <w:p>
      <w:pPr>
        <w:pStyle w:val="Heading1"/>
        <w:spacing w:before="127"/>
        <w:ind w:left="302" w:right="276" w:firstLine="707"/>
        <w:jc w:val="both"/>
        <w:rPr>
          <w:u w:val="none"/>
        </w:rPr>
      </w:pPr>
      <w:r>
        <w:rPr>
          <w:u w:val="none"/>
        </w:rPr>
        <w:t>Срок подачи документов и сведений для участия в предварительном отборе.</w:t>
      </w:r>
    </w:p>
    <w:p>
      <w:pPr>
        <w:pStyle w:val="BodyText"/>
        <w:spacing w:line="291" w:lineRule="exact"/>
        <w:ind w:left="1010" w:firstLine="0"/>
      </w:pPr>
      <w:r>
        <w:rPr/>
        <w:t>Время и дата начала приема документов и сведений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98" w:lineRule="exact" w:before="1" w:after="0"/>
        <w:ind w:left="496" w:right="0" w:hanging="195"/>
        <w:jc w:val="both"/>
        <w:rPr>
          <w:sz w:val="26"/>
        </w:rPr>
      </w:pPr>
      <w:r>
        <w:rPr>
          <w:sz w:val="26"/>
        </w:rPr>
        <w:t>10.00 (время московское) </w:t>
      </w:r>
      <w:r>
        <w:rPr>
          <w:color w:val="0000CC"/>
          <w:sz w:val="26"/>
        </w:rPr>
        <w:t>03 февраля 2020</w:t>
      </w:r>
      <w:r>
        <w:rPr>
          <w:color w:val="0000CC"/>
          <w:spacing w:val="6"/>
          <w:sz w:val="26"/>
        </w:rPr>
        <w:t> </w:t>
      </w:r>
      <w:r>
        <w:rPr>
          <w:color w:val="0000CC"/>
          <w:sz w:val="26"/>
        </w:rPr>
        <w:t>г</w:t>
      </w:r>
      <w:r>
        <w:rPr>
          <w:sz w:val="26"/>
        </w:rPr>
        <w:t>.</w:t>
      </w:r>
    </w:p>
    <w:p>
      <w:pPr>
        <w:pStyle w:val="BodyText"/>
        <w:spacing w:line="298" w:lineRule="exact"/>
        <w:ind w:left="1010" w:firstLine="0"/>
      </w:pPr>
      <w:r>
        <w:rPr/>
        <w:t>Время и дата окончания приема документов и сведений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1" w:after="0"/>
        <w:ind w:left="496" w:right="0" w:hanging="195"/>
        <w:jc w:val="both"/>
        <w:rPr>
          <w:sz w:val="26"/>
        </w:rPr>
      </w:pPr>
      <w:r>
        <w:rPr>
          <w:sz w:val="26"/>
        </w:rPr>
        <w:t>18.00 (время московское) </w:t>
      </w:r>
      <w:r>
        <w:rPr>
          <w:color w:val="0000CC"/>
          <w:sz w:val="26"/>
        </w:rPr>
        <w:t>07 февраля 2020</w:t>
      </w:r>
      <w:r>
        <w:rPr>
          <w:color w:val="0000CC"/>
          <w:spacing w:val="5"/>
          <w:sz w:val="26"/>
        </w:rPr>
        <w:t> </w:t>
      </w:r>
      <w:r>
        <w:rPr>
          <w:color w:val="0000CC"/>
          <w:sz w:val="26"/>
        </w:rPr>
        <w:t>г</w:t>
      </w:r>
      <w:r>
        <w:rPr>
          <w:sz w:val="26"/>
        </w:rPr>
        <w:t>.</w:t>
      </w:r>
    </w:p>
    <w:p>
      <w:pPr>
        <w:pStyle w:val="Heading1"/>
        <w:spacing w:before="126"/>
        <w:ind w:left="302" w:right="278" w:firstLine="707"/>
        <w:jc w:val="both"/>
        <w:rPr>
          <w:u w:val="none"/>
        </w:rPr>
      </w:pPr>
      <w:r>
        <w:rPr>
          <w:u w:val="none"/>
        </w:rPr>
        <w:t>Дата начала и дата окончания представления документов и материалов для участия во втором туре конкурса.</w:t>
      </w:r>
    </w:p>
    <w:p>
      <w:pPr>
        <w:pStyle w:val="BodyText"/>
        <w:ind w:right="267"/>
      </w:pPr>
      <w:r>
        <w:rPr/>
        <w:t>Дата начала и дата окончания представления документов и материалов для участия во втором туре конкурса, порядок и сроки объявления результатов конкурса будут указаны в сообщении о проведении второго тура конкурса, размещенном на сайте ФАУ  «ФЦС» и  на сайте оператора конкурса  не  позднее  </w:t>
      </w:r>
      <w:r>
        <w:rPr>
          <w:color w:val="0000CC"/>
        </w:rPr>
        <w:t>17 февраля 2020</w:t>
      </w:r>
      <w:r>
        <w:rPr>
          <w:color w:val="0000CC"/>
          <w:spacing w:val="-2"/>
        </w:rPr>
        <w:t> </w:t>
      </w:r>
      <w:r>
        <w:rPr>
          <w:color w:val="0000CC"/>
        </w:rPr>
        <w:t>г.</w:t>
      </w:r>
    </w:p>
    <w:p>
      <w:pPr>
        <w:pStyle w:val="BodyText"/>
        <w:spacing w:before="113"/>
        <w:ind w:right="276"/>
      </w:pPr>
      <w:r>
        <w:rPr/>
        <w:t>Конкурсные материалы представляются лицом, желающим принять участие в конкурсе, в электронном виде и должны быть направлены по электронным адресам оператора конкурса</w:t>
      </w:r>
      <w:r>
        <w:rPr>
          <w:spacing w:val="-2"/>
        </w:rPr>
        <w:t> </w:t>
      </w:r>
      <w:hyperlink r:id="rId8">
        <w:r>
          <w:rPr>
            <w:color w:val="0000FF"/>
          </w:rPr>
          <w:t>konkurs_soyuz@mail.ru</w:t>
        </w:r>
      </w:hyperlink>
      <w:r>
        <w:rPr/>
        <w:t>.</w:t>
      </w:r>
    </w:p>
    <w:p>
      <w:pPr>
        <w:pStyle w:val="BodyText"/>
        <w:spacing w:before="121"/>
        <w:ind w:right="272"/>
      </w:pPr>
      <w:r>
        <w:rPr/>
        <w:t>Требования к формату и оформлению электронных документов, представляемых на конкурс, содержатся в конкурсной документации.</w:t>
      </w:r>
    </w:p>
    <w:p>
      <w:pPr>
        <w:pStyle w:val="Heading1"/>
        <w:spacing w:before="127"/>
        <w:ind w:left="31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Место, дата и время проведения предварительного отбора</w:t>
      </w:r>
    </w:p>
    <w:p>
      <w:pPr>
        <w:pStyle w:val="BodyText"/>
        <w:spacing w:before="114"/>
        <w:ind w:right="271"/>
      </w:pPr>
      <w:r>
        <w:rPr/>
        <w:t>Предварительный отбор (вскрытие электронных писем с конкурсными материалами, представленными для участия в предварительном отборе, рассмотрение указанных документов и сведений, а также оценка квалификации)</w:t>
      </w:r>
    </w:p>
    <w:p>
      <w:pPr>
        <w:spacing w:after="0"/>
        <w:sectPr>
          <w:pgSz w:w="11910" w:h="16840"/>
          <w:pgMar w:header="710" w:footer="0" w:top="920" w:bottom="280" w:left="1400" w:right="580"/>
        </w:sectPr>
      </w:pPr>
    </w:p>
    <w:p>
      <w:pPr>
        <w:pStyle w:val="BodyText"/>
        <w:ind w:right="266" w:firstLine="0"/>
      </w:pPr>
      <w:r>
        <w:rPr/>
        <w:t>осуществляется в порядке и в сроки, предусмотренные  Конкурсной документацией, по месту нахождения оператора конкурса по</w:t>
      </w:r>
      <w:r>
        <w:rPr>
          <w:spacing w:val="-13"/>
        </w:rPr>
        <w:t> </w:t>
      </w:r>
      <w:r>
        <w:rPr/>
        <w:t>адресу:</w:t>
      </w:r>
    </w:p>
    <w:p>
      <w:pPr>
        <w:pStyle w:val="BodyText"/>
        <w:ind w:firstLine="0"/>
      </w:pPr>
      <w:r>
        <w:rPr>
          <w:color w:val="0000CC"/>
        </w:rPr>
        <w:t>123001, г. Москва, Гранатный пер., д. 12.</w:t>
      </w:r>
    </w:p>
    <w:p>
      <w:pPr>
        <w:pStyle w:val="BodyText"/>
        <w:spacing w:before="1"/>
        <w:ind w:right="268"/>
      </w:pPr>
      <w:r>
        <w:rPr/>
        <w:t>Вскрытие электронных писем с конкурсными материалами, представленными  для   участия   в   предварительном   отборе,   осуществляется   </w:t>
      </w:r>
      <w:r>
        <w:rPr>
          <w:color w:val="0000CC"/>
        </w:rPr>
        <w:t>10 февраля 2020 года в 12.00 по московскому</w:t>
      </w:r>
      <w:r>
        <w:rPr>
          <w:color w:val="0000CC"/>
          <w:spacing w:val="-6"/>
        </w:rPr>
        <w:t> </w:t>
      </w:r>
      <w:r>
        <w:rPr>
          <w:color w:val="0000CC"/>
        </w:rPr>
        <w:t>времени.</w:t>
      </w:r>
    </w:p>
    <w:p>
      <w:pPr>
        <w:pStyle w:val="BodyText"/>
        <w:ind w:right="270"/>
      </w:pPr>
      <w:r>
        <w:rPr/>
        <w:t>Пароль для вскрытия zip-архива с конкурсными материалами, представленными в электронных письмах для участия в предварительном отборе, направляется лицом, представившим конкурсные материалы, </w:t>
      </w:r>
      <w:r>
        <w:rPr>
          <w:color w:val="0000CC"/>
        </w:rPr>
        <w:t>10 февраля 2020 года с 9.00 до 12.00 по московскому времени </w:t>
      </w:r>
      <w:r>
        <w:rPr/>
        <w:t>по электронному адресу оператора конкурса.</w:t>
      </w:r>
    </w:p>
    <w:p>
      <w:pPr>
        <w:pStyle w:val="Heading1"/>
        <w:spacing w:line="298" w:lineRule="exact" w:before="128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Критерии оценки квалификации заявок на участие в предварительном отборе</w:t>
      </w:r>
    </w:p>
    <w:p>
      <w:pPr>
        <w:spacing w:line="298" w:lineRule="exact" w:before="0"/>
        <w:ind w:left="29" w:right="0" w:firstLine="0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> </w:t>
      </w:r>
      <w:r>
        <w:rPr>
          <w:b/>
          <w:sz w:val="26"/>
          <w:u w:val="thick"/>
        </w:rPr>
        <w:t>(квалификации лиц, допущенных к оценке квалификации)</w:t>
      </w:r>
    </w:p>
    <w:p>
      <w:pPr>
        <w:pStyle w:val="BodyText"/>
        <w:spacing w:before="114"/>
        <w:ind w:right="268" w:firstLine="566"/>
      </w:pPr>
      <w:r>
        <w:rPr/>
        <w:t>Оценка квалификации лиц, допущенных к оценке квалификации, осуществляется в порядке, установленном Конкурсной документацией, по следующим критериям:</w:t>
      </w:r>
    </w:p>
    <w:p>
      <w:pPr>
        <w:pStyle w:val="ListParagraph"/>
        <w:numPr>
          <w:ilvl w:val="0"/>
          <w:numId w:val="4"/>
        </w:numPr>
        <w:tabs>
          <w:tab w:pos="1226" w:val="left" w:leader="none"/>
        </w:tabs>
        <w:spacing w:line="317" w:lineRule="exact" w:before="0" w:after="0"/>
        <w:ind w:left="1226" w:right="0" w:hanging="358"/>
        <w:jc w:val="both"/>
        <w:rPr>
          <w:sz w:val="26"/>
        </w:rPr>
      </w:pPr>
      <w:r>
        <w:rPr>
          <w:sz w:val="26"/>
        </w:rPr>
        <w:t>опыт выполнения аналогичных работ за последние пять</w:t>
      </w:r>
      <w:r>
        <w:rPr>
          <w:spacing w:val="-9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4"/>
        </w:numPr>
        <w:tabs>
          <w:tab w:pos="1226" w:val="left" w:leader="none"/>
        </w:tabs>
        <w:spacing w:line="237" w:lineRule="auto" w:before="3" w:after="0"/>
        <w:ind w:left="1226" w:right="277" w:hanging="358"/>
        <w:jc w:val="both"/>
        <w:rPr>
          <w:sz w:val="26"/>
        </w:rPr>
      </w:pPr>
      <w:r>
        <w:rPr>
          <w:sz w:val="26"/>
        </w:rPr>
        <w:t>обеспеченность профессиональными кадрами (наличие кадровых ресурсов (профильных</w:t>
      </w:r>
      <w:r>
        <w:rPr>
          <w:spacing w:val="-2"/>
          <w:sz w:val="26"/>
        </w:rPr>
        <w:t> </w:t>
      </w:r>
      <w:r>
        <w:rPr>
          <w:sz w:val="26"/>
        </w:rPr>
        <w:t>специалистов).</w:t>
      </w:r>
    </w:p>
    <w:p>
      <w:pPr>
        <w:pStyle w:val="Heading1"/>
        <w:spacing w:before="130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Критерии и порядок оценки конкурсных проектов</w:t>
      </w:r>
    </w:p>
    <w:p>
      <w:pPr>
        <w:pStyle w:val="BodyText"/>
        <w:spacing w:before="111"/>
        <w:ind w:right="268"/>
      </w:pPr>
      <w:r>
        <w:rPr/>
        <w:t>Оценка конкурсных проектов для определения победителя конкурса осуществляется по следующим критериям: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240" w:lineRule="auto" w:before="1" w:after="0"/>
        <w:ind w:left="1295" w:right="0" w:hanging="286"/>
        <w:jc w:val="both"/>
        <w:rPr>
          <w:sz w:val="26"/>
        </w:rPr>
      </w:pPr>
      <w:r>
        <w:rPr>
          <w:sz w:val="26"/>
        </w:rPr>
        <w:t>соответствие конкурсного проекта Техническому</w:t>
      </w:r>
      <w:r>
        <w:rPr>
          <w:spacing w:val="-23"/>
          <w:sz w:val="26"/>
        </w:rPr>
        <w:t> </w:t>
      </w:r>
      <w:r>
        <w:rPr>
          <w:sz w:val="26"/>
        </w:rPr>
        <w:t>заданию;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237" w:lineRule="auto" w:before="3" w:after="0"/>
        <w:ind w:left="302" w:right="272" w:firstLine="707"/>
        <w:jc w:val="both"/>
        <w:rPr>
          <w:sz w:val="26"/>
        </w:rPr>
      </w:pPr>
      <w:r>
        <w:rPr>
          <w:sz w:val="26"/>
        </w:rPr>
        <w:t>рациональность и потенциальная многовариантность архитектурных объемно-планировочных и функционально-технологических</w:t>
      </w:r>
      <w:r>
        <w:rPr>
          <w:spacing w:val="-6"/>
          <w:sz w:val="26"/>
        </w:rPr>
        <w:t> </w:t>
      </w:r>
      <w:r>
        <w:rPr>
          <w:sz w:val="26"/>
        </w:rPr>
        <w:t>решений;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240" w:lineRule="auto" w:before="3" w:after="0"/>
        <w:ind w:left="302" w:right="268" w:firstLine="707"/>
        <w:jc w:val="both"/>
        <w:rPr>
          <w:sz w:val="26"/>
        </w:rPr>
      </w:pPr>
      <w:r>
        <w:rPr>
          <w:sz w:val="26"/>
        </w:rPr>
        <w:t>наличие архитектурно-художественных решений, оказывающих позитивное (благоприятное) влияние на внутреннее пространство объекта и на окружающую среду (отсутствие негативного</w:t>
      </w:r>
      <w:r>
        <w:rPr>
          <w:spacing w:val="-8"/>
          <w:sz w:val="26"/>
        </w:rPr>
        <w:t> </w:t>
      </w:r>
      <w:r>
        <w:rPr>
          <w:sz w:val="26"/>
        </w:rPr>
        <w:t>влияния);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240" w:lineRule="auto" w:before="0" w:after="0"/>
        <w:ind w:left="302" w:right="275" w:firstLine="707"/>
        <w:jc w:val="both"/>
        <w:rPr>
          <w:sz w:val="26"/>
        </w:rPr>
      </w:pPr>
      <w:r>
        <w:rPr>
          <w:sz w:val="26"/>
        </w:rPr>
        <w:t>рациональность и потенциальная многовариантность планировочной организации</w:t>
      </w:r>
      <w:r>
        <w:rPr>
          <w:spacing w:val="-2"/>
          <w:sz w:val="26"/>
        </w:rPr>
        <w:t> </w:t>
      </w:r>
      <w:r>
        <w:rPr>
          <w:sz w:val="26"/>
        </w:rPr>
        <w:t>территории;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240" w:lineRule="auto" w:before="0" w:after="0"/>
        <w:ind w:left="302" w:right="270" w:firstLine="707"/>
        <w:jc w:val="both"/>
        <w:rPr>
          <w:sz w:val="26"/>
        </w:rPr>
      </w:pPr>
      <w:r>
        <w:rPr>
          <w:sz w:val="26"/>
        </w:rPr>
        <w:t>экономическая целесообразность и эффективность предлагаемых планировочных, инженерных, конструктивных решений - по параметрам их применения;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318" w:lineRule="exact" w:before="0" w:after="0"/>
        <w:ind w:left="1295" w:right="0" w:hanging="286"/>
        <w:jc w:val="both"/>
        <w:rPr>
          <w:sz w:val="26"/>
        </w:rPr>
      </w:pPr>
      <w:r>
        <w:rPr>
          <w:sz w:val="26"/>
        </w:rPr>
        <w:t>энергоэффективность объекта;</w:t>
      </w:r>
    </w:p>
    <w:p>
      <w:pPr>
        <w:pStyle w:val="ListParagraph"/>
        <w:numPr>
          <w:ilvl w:val="1"/>
          <w:numId w:val="4"/>
        </w:numPr>
        <w:tabs>
          <w:tab w:pos="1296" w:val="left" w:leader="none"/>
        </w:tabs>
        <w:spacing w:line="318" w:lineRule="exact" w:before="0" w:after="0"/>
        <w:ind w:left="1295" w:right="0" w:hanging="286"/>
        <w:jc w:val="both"/>
        <w:rPr>
          <w:sz w:val="26"/>
        </w:rPr>
      </w:pPr>
      <w:r>
        <w:rPr>
          <w:sz w:val="26"/>
        </w:rPr>
        <w:t>приведенная стоимость строительства к одному койко-месту</w:t>
      </w:r>
      <w:r>
        <w:rPr>
          <w:spacing w:val="-18"/>
          <w:sz w:val="26"/>
        </w:rPr>
        <w:t> </w:t>
      </w:r>
      <w:r>
        <w:rPr>
          <w:sz w:val="26"/>
        </w:rPr>
        <w:t>объекта.</w:t>
      </w:r>
    </w:p>
    <w:p>
      <w:pPr>
        <w:pStyle w:val="BodyText"/>
        <w:spacing w:before="116"/>
        <w:ind w:right="269"/>
      </w:pPr>
      <w:r>
        <w:rPr/>
        <w:t>Оценка конкурсных проектов осуществляется в порядке, установленном Конкурсной документацией.</w:t>
      </w:r>
    </w:p>
    <w:p>
      <w:pPr>
        <w:pStyle w:val="Heading1"/>
        <w:spacing w:before="127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Размеры премий победителям конкурса</w:t>
      </w:r>
    </w:p>
    <w:p>
      <w:pPr>
        <w:pStyle w:val="BodyText"/>
        <w:spacing w:before="114"/>
        <w:ind w:right="271"/>
      </w:pPr>
      <w:r>
        <w:rPr/>
        <w:t>Победителям и призерам конкурса по решению жюри (комиссии) конкурса ФАУ «ФЦС» выплачиваются следующие премии:</w:t>
      </w:r>
    </w:p>
    <w:p>
      <w:pPr>
        <w:pStyle w:val="ListParagraph"/>
        <w:numPr>
          <w:ilvl w:val="0"/>
          <w:numId w:val="5"/>
        </w:numPr>
        <w:tabs>
          <w:tab w:pos="1435" w:val="left" w:leader="none"/>
        </w:tabs>
        <w:spacing w:line="240" w:lineRule="auto" w:before="0" w:after="0"/>
        <w:ind w:left="302" w:right="271" w:firstLine="707"/>
        <w:jc w:val="both"/>
        <w:rPr>
          <w:sz w:val="26"/>
        </w:rPr>
      </w:pPr>
      <w:r>
        <w:rPr>
          <w:sz w:val="26"/>
        </w:rPr>
        <w:t>победителю конкурса в номинации «Лучший проект центральной районной больницы проектной мощностью на 400 коек» - премия «За лучший проект  центральной  районной  больницы  проектной  мощностью  на  400   коек» в размере 1 000 000 (один миллион)</w:t>
      </w:r>
      <w:r>
        <w:rPr>
          <w:spacing w:val="-3"/>
          <w:sz w:val="26"/>
        </w:rPr>
        <w:t> </w:t>
      </w:r>
      <w:r>
        <w:rPr>
          <w:sz w:val="26"/>
        </w:rPr>
        <w:t>рублей;</w:t>
      </w:r>
    </w:p>
    <w:p>
      <w:pPr>
        <w:pStyle w:val="ListParagraph"/>
        <w:numPr>
          <w:ilvl w:val="0"/>
          <w:numId w:val="5"/>
        </w:numPr>
        <w:tabs>
          <w:tab w:pos="1435" w:val="left" w:leader="none"/>
        </w:tabs>
        <w:spacing w:line="240" w:lineRule="auto" w:before="0" w:after="0"/>
        <w:ind w:left="302" w:right="272" w:firstLine="707"/>
        <w:jc w:val="both"/>
        <w:rPr>
          <w:sz w:val="26"/>
        </w:rPr>
      </w:pPr>
      <w:r>
        <w:rPr>
          <w:sz w:val="26"/>
        </w:rPr>
        <w:t>победителю конкурса в номинации «Лучший проект центральной районной больницы проектной мощностью на 240 коек» - премия «За</w:t>
      </w:r>
      <w:r>
        <w:rPr>
          <w:spacing w:val="48"/>
          <w:sz w:val="26"/>
        </w:rPr>
        <w:t> </w:t>
      </w:r>
      <w:r>
        <w:rPr>
          <w:sz w:val="26"/>
        </w:rPr>
        <w:t>лучший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710" w:footer="0" w:top="920" w:bottom="280" w:left="1400" w:right="580"/>
        </w:sectPr>
      </w:pPr>
    </w:p>
    <w:p>
      <w:pPr>
        <w:pStyle w:val="BodyText"/>
        <w:ind w:right="272" w:firstLine="0"/>
      </w:pPr>
      <w:r>
        <w:rPr/>
        <w:t>проект  центральной  районной  больницы  проектной  мощностью  на  240   коек» в размере 800 000 (восемьсот тысяч)</w:t>
      </w:r>
      <w:r>
        <w:rPr>
          <w:spacing w:val="-3"/>
        </w:rPr>
        <w:t> </w:t>
      </w:r>
      <w:r>
        <w:rPr/>
        <w:t>рублей;</w:t>
      </w:r>
    </w:p>
    <w:p>
      <w:pPr>
        <w:pStyle w:val="ListParagraph"/>
        <w:numPr>
          <w:ilvl w:val="0"/>
          <w:numId w:val="5"/>
        </w:numPr>
        <w:tabs>
          <w:tab w:pos="1435" w:val="left" w:leader="none"/>
        </w:tabs>
        <w:spacing w:line="240" w:lineRule="auto" w:before="0" w:after="0"/>
        <w:ind w:left="302" w:right="270" w:firstLine="707"/>
        <w:jc w:val="both"/>
        <w:rPr>
          <w:sz w:val="26"/>
        </w:rPr>
      </w:pPr>
      <w:r>
        <w:rPr>
          <w:sz w:val="26"/>
        </w:rPr>
        <w:t>победителю конкурса в номинации «Лучший проект центральной районной больницы проектной мощностью на 80 коек» - премия «За лучший проект  центральной   районной  больницы  проектной  мощностью  на  80  коек»   в размере 600 000 (шестьсот тысяч)</w:t>
      </w:r>
      <w:r>
        <w:rPr>
          <w:spacing w:val="-3"/>
          <w:sz w:val="26"/>
        </w:rPr>
        <w:t> </w:t>
      </w:r>
      <w:r>
        <w:rPr>
          <w:sz w:val="26"/>
        </w:rPr>
        <w:t>рублей;</w:t>
      </w:r>
    </w:p>
    <w:p>
      <w:pPr>
        <w:pStyle w:val="ListParagraph"/>
        <w:numPr>
          <w:ilvl w:val="0"/>
          <w:numId w:val="5"/>
        </w:numPr>
        <w:tabs>
          <w:tab w:pos="1435" w:val="left" w:leader="none"/>
        </w:tabs>
        <w:spacing w:line="240" w:lineRule="auto" w:before="1" w:after="0"/>
        <w:ind w:left="302" w:right="266" w:firstLine="707"/>
        <w:jc w:val="both"/>
        <w:rPr>
          <w:sz w:val="26"/>
        </w:rPr>
      </w:pPr>
      <w:r>
        <w:rPr>
          <w:sz w:val="26"/>
        </w:rPr>
        <w:t>участникам конкурса, занявшим вторые места в каждой из номинаций конкурса, выплачиваются поощрительные премии в размере 200 000 (двести тысяч) рублей.</w:t>
      </w:r>
    </w:p>
    <w:p>
      <w:pPr>
        <w:pStyle w:val="Heading1"/>
        <w:spacing w:before="126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Порядок и сроки объявления результатов конкурса</w:t>
      </w:r>
    </w:p>
    <w:p>
      <w:pPr>
        <w:pStyle w:val="BodyText"/>
        <w:spacing w:before="114"/>
        <w:ind w:right="264"/>
      </w:pPr>
      <w:r>
        <w:rPr/>
        <w:t>Сроки подведения результатов конкурса (оценка и сопоставление конкурсных проектов, а также определение победителей конкурса) будут указаны в сообщении о проведении второго тура конкурса, размещенном на сайте ФАУ</w:t>
      </w:r>
    </w:p>
    <w:p>
      <w:pPr>
        <w:pStyle w:val="BodyText"/>
        <w:spacing w:line="298" w:lineRule="exact" w:before="1"/>
        <w:ind w:firstLine="0"/>
      </w:pPr>
      <w:r>
        <w:rPr/>
        <w:t>«ФЦС» и на сайте оператора конкурса не позднее </w:t>
      </w:r>
      <w:r>
        <w:rPr>
          <w:color w:val="0000CC"/>
        </w:rPr>
        <w:t>17 февраля 2020 г.</w:t>
      </w:r>
    </w:p>
    <w:p>
      <w:pPr>
        <w:pStyle w:val="BodyText"/>
        <w:ind w:right="268"/>
      </w:pPr>
      <w:r>
        <w:rPr/>
        <w:t>Информация    о    результатах    конкурса     размещается     на     сайте   ФАУ «ФЦС», а также на сайте оператора конкурса в течение 5 (пяти) рабочих дней после подписания протокола о результатах</w:t>
      </w:r>
      <w:r>
        <w:rPr>
          <w:spacing w:val="-4"/>
        </w:rPr>
        <w:t> </w:t>
      </w:r>
      <w:r>
        <w:rPr/>
        <w:t>конкурса.</w:t>
      </w:r>
    </w:p>
    <w:p>
      <w:pPr>
        <w:pStyle w:val="Heading1"/>
        <w:spacing w:before="127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Порядок изменения и отмены конкурса</w:t>
      </w:r>
    </w:p>
    <w:p>
      <w:pPr>
        <w:pStyle w:val="BodyText"/>
        <w:spacing w:before="114"/>
        <w:ind w:right="269"/>
      </w:pPr>
      <w:r>
        <w:rPr/>
        <w:t>Внесение изменений в конкурсную документацию или отмена конкурса осуществляются на основании решения директора ФАУ «ФЦС» в соответствии с конкурсной документацией и требованиями законодательства Российской Федерации.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1"/>
        <w:spacing w:before="89"/>
        <w:ind w:left="31"/>
        <w:rPr>
          <w:u w:val="none"/>
        </w:rPr>
      </w:pPr>
      <w:r>
        <w:rPr>
          <w:b w:val="0"/>
          <w:spacing w:val="-65"/>
          <w:w w:val="99"/>
          <w:u w:val="none"/>
        </w:rPr>
        <w:t> </w:t>
      </w:r>
      <w:r>
        <w:rPr>
          <w:u w:val="thick"/>
        </w:rPr>
        <w:t>Контактная информация</w:t>
      </w:r>
    </w:p>
    <w:p>
      <w:pPr>
        <w:spacing w:before="114"/>
        <w:ind w:left="29" w:right="5554" w:firstLine="0"/>
        <w:jc w:val="center"/>
        <w:rPr>
          <w:sz w:val="26"/>
        </w:rPr>
      </w:pPr>
      <w:r>
        <w:rPr>
          <w:b/>
          <w:sz w:val="26"/>
        </w:rPr>
        <w:t>Оператор конкурса</w:t>
      </w:r>
      <w:r>
        <w:rPr>
          <w:sz w:val="26"/>
        </w:rPr>
        <w:t>:</w:t>
      </w:r>
    </w:p>
    <w:p>
      <w:pPr>
        <w:pStyle w:val="BodyText"/>
        <w:spacing w:line="298" w:lineRule="exact" w:before="1"/>
        <w:ind w:left="732" w:firstLine="0"/>
        <w:jc w:val="center"/>
      </w:pPr>
      <w:r>
        <w:rPr/>
        <w:t>Общероссийская творческая профессиональная общественная организация</w:t>
      </w:r>
    </w:p>
    <w:p>
      <w:pPr>
        <w:pStyle w:val="BodyText"/>
        <w:spacing w:line="298" w:lineRule="exact"/>
        <w:ind w:left="29" w:right="6015" w:firstLine="0"/>
        <w:jc w:val="center"/>
      </w:pPr>
      <w:r>
        <w:rPr/>
        <w:t>«Союз архитекторов России».</w:t>
      </w:r>
    </w:p>
    <w:p>
      <w:pPr>
        <w:pStyle w:val="Heading1"/>
        <w:spacing w:line="298" w:lineRule="exact" w:before="1"/>
        <w:ind w:right="5931"/>
        <w:rPr>
          <w:b w:val="0"/>
          <w:u w:val="none"/>
        </w:rPr>
      </w:pPr>
      <w:r>
        <w:rPr>
          <w:u w:val="none"/>
        </w:rPr>
        <w:t>Место нахождения</w:t>
      </w:r>
      <w:r>
        <w:rPr>
          <w:b w:val="0"/>
          <w:u w:val="none"/>
        </w:rPr>
        <w:t>:</w:t>
      </w:r>
    </w:p>
    <w:p>
      <w:pPr>
        <w:pStyle w:val="BodyText"/>
        <w:spacing w:line="298" w:lineRule="exact"/>
        <w:ind w:left="868" w:firstLine="0"/>
        <w:jc w:val="left"/>
      </w:pPr>
      <w:r>
        <w:rPr/>
        <w:t>123001, г. Москва, Гранатный пер., д. 12.</w:t>
      </w:r>
    </w:p>
    <w:p>
      <w:pPr>
        <w:pStyle w:val="Heading1"/>
        <w:spacing w:line="295" w:lineRule="exact" w:before="8"/>
        <w:ind w:left="868"/>
        <w:jc w:val="left"/>
        <w:rPr>
          <w:u w:val="none"/>
        </w:rPr>
      </w:pPr>
      <w:r>
        <w:rPr>
          <w:u w:val="none"/>
        </w:rPr>
        <w:t>Контактное лицо:</w:t>
      </w:r>
    </w:p>
    <w:p>
      <w:pPr>
        <w:pStyle w:val="BodyText"/>
        <w:spacing w:line="295" w:lineRule="exact"/>
        <w:ind w:left="868" w:firstLine="0"/>
        <w:jc w:val="left"/>
      </w:pPr>
      <w:r>
        <w:rPr/>
        <w:t>Захарян Алла Андреевна</w:t>
      </w:r>
    </w:p>
    <w:p>
      <w:pPr>
        <w:pStyle w:val="Heading1"/>
        <w:spacing w:line="296" w:lineRule="exact" w:before="8"/>
        <w:ind w:left="868"/>
        <w:jc w:val="left"/>
        <w:rPr>
          <w:u w:val="none"/>
        </w:rPr>
      </w:pPr>
      <w:r>
        <w:rPr>
          <w:u w:val="none"/>
        </w:rPr>
        <w:t>Номера контактных телефонов:</w:t>
      </w:r>
    </w:p>
    <w:p>
      <w:pPr>
        <w:pStyle w:val="BodyText"/>
        <w:spacing w:line="295" w:lineRule="exact"/>
        <w:ind w:left="868" w:firstLine="0"/>
        <w:jc w:val="left"/>
      </w:pPr>
      <w:r>
        <w:rPr/>
        <w:t>телефон городской +7(495)690-16-68,</w:t>
      </w:r>
    </w:p>
    <w:p>
      <w:pPr>
        <w:spacing w:line="240" w:lineRule="auto" w:before="0"/>
        <w:ind w:left="868" w:right="4810" w:firstLine="0"/>
        <w:jc w:val="left"/>
        <w:rPr>
          <w:sz w:val="26"/>
        </w:rPr>
      </w:pPr>
      <w:r>
        <w:rPr>
          <w:sz w:val="26"/>
        </w:rPr>
        <w:t>телефон мобильный +7(925)707-04-87 </w:t>
      </w:r>
      <w:r>
        <w:rPr>
          <w:b/>
          <w:sz w:val="26"/>
        </w:rPr>
        <w:t>Адрес электронной почты: </w:t>
      </w:r>
      <w:hyperlink r:id="rId8">
        <w:r>
          <w:rPr>
            <w:color w:val="0000FF"/>
            <w:sz w:val="26"/>
          </w:rPr>
          <w:t>konkurs_soyuz@mail.ru</w:t>
        </w:r>
      </w:hyperlink>
    </w:p>
    <w:sectPr>
      <w:pgSz w:w="11910" w:h="16840"/>
      <w:pgMar w:header="710" w:footer="0" w:top="920" w:bottom="280" w:left="14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69995pt;margin-top:34.524494pt;width:11pt;height:13.0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302" w:hanging="42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226" w:hanging="35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302" w:hanging="286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1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496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2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7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19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02" w:hanging="25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302" w:hanging="19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19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 w:firstLine="707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2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aufcc.ru/" TargetMode="External"/><Relationship Id="rId7" Type="http://schemas.openxmlformats.org/officeDocument/2006/relationships/hyperlink" Target="http://www.uar.ru/" TargetMode="External"/><Relationship Id="rId8" Type="http://schemas.openxmlformats.org/officeDocument/2006/relationships/hyperlink" Target="mailto:konkurs_soyuz@mail.r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 Алексей Эдуардович</dc:creator>
  <dcterms:created xsi:type="dcterms:W3CDTF">2020-01-15T09:17:47Z</dcterms:created>
  <dcterms:modified xsi:type="dcterms:W3CDTF">2020-01-15T09:17:47Z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2020-01-15T00:00:00Z</vt:filetime>
  </property>
</Properties>
</file>